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врачебная практика (семейная медицина)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04:26 МСК · База обновлена: 23.07.2026, 21:28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18 лет обратилась к врачу-терапевту участковому.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•</w:t>
        <w:tab/>
        <w:t>ежедневные приступы затруднённого дыхания до 1-2 раз в сутки, чувство заложенности в грудной клетке, преимущественно, в ночные и ранние утренние часы,</w:t>
        <w:br/>
        <w:t>•</w:t>
        <w:tab/>
        <w:t>приступообразный малопродуктивный кашель,</w:t>
        <w:br/>
        <w:t>•</w:t>
        <w:tab/>
        <w:t>затруднение носового дыхания со слизистыми выделениями.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•</w:t>
        <w:tab/>
        <w:t>С детского возраста отмечает появление заложенности носа с умеренными слизистыми выделениями в период цветения деревьев (апрель-май).</w:t>
        <w:br/>
        <w:t>•</w:t>
        <w:tab/>
        <w:t>В 17 лет впервые развился приступ затруднённого дыхания после контакта   с кошкой. Симптомы регрессировали самостоятельно, к врачу не обращалась.</w:t>
        <w:br/>
        <w:t>•</w:t>
        <w:tab/>
        <w:t>В течение предшествующих 3 недель на фоне цветения деревьев появились симптомы ринита, принимала антигистаминные препараты (дезлоратадин 1 таблетка в день).</w:t>
        <w:br/>
        <w:t>•</w:t>
        <w:tab/>
        <w:t>10 дней назад стали регистрироваться приступы затруднённого дыхания до 1-2 раз в сутки, преимущественно в ночные и ранние утренние часы, непродуктивный кашель.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Росла и развивалась нормально.</w:t>
        <w:br/>
        <w:t>•</w:t>
        <w:tab/>
        <w:t>Является студенткой техникума.</w:t>
        <w:br/>
        <w:t>•</w:t>
        <w:tab/>
        <w:t>Перенесённые заболевания: детские инфекции.</w:t>
        <w:br/>
        <w:t>•</w:t>
        <w:tab/>
        <w:t>Наследственность не отягощена.</w:t>
        <w:br/>
        <w:t>•</w:t>
        <w:tab/>
        <w:t>Пищевая аллергия (цитрусовые – явления крапивницы).</w:t>
        <w:br/>
        <w:t>•</w:t>
        <w:tab/>
        <w:t>Вредные привычки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степени тяжести, температура тела – 36,5°C. Нормостенического телосложения, периферические лимфоузлы не увеличены, отёков нет. Кожные покровы обычной окраски. Носовое дыхание затруднено. При перкуссии грудной клетки лёгочный звук, при аускультации – дыхание жёсткое, над всей поверхностью лёгких выслушиваются рассеянные сухие дискантовые хрипы, ЧДД – 18 в минуту. Тоны сердца ритмичные, пульс – 82 в минуту, АД – 110/70 мм рт.ст. Живот при пальпации мягкий,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Выберите необходимые для постановки диагноза лабораторные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бактериологическое исследование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специфический иммуноглобулин E к эпителию кошки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мокроты на микобактерию туберкулеза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клинический анализ крови; 3 — специфический иммуноглобулин E к эпителию кошки в сыворотке крови</w:t>
      </w:r>
    </w:p>
    <w:p>
      <w:pPr>
        <w:ind w:left="504"/>
      </w:pPr>
      <w:r>
        <w:rPr>
          <w:b w:val="0"/>
          <w:i/>
        </w:rPr>
        <w:t>Для постановки диагноза необходимо исследование клинического анализа крови для выявления эозинофилии.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постановки диагноза необходимо определение специфического иммуноглобулина E к эпителию кошки в сыворотке крови для оценки аллергологического статуса.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Выберите необходимые для постановки диагноза инструментальные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пульсоксиметрия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плевральных полостей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спирометрия с тестом обратимости бронхиальной обструкции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бронхоскопия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пульсоксиметрия; 4 — спирометрия с тестом обратимости бронхиальной обструкции</w:t>
      </w:r>
    </w:p>
    <w:p>
      <w:pPr>
        <w:ind w:left="504"/>
      </w:pPr>
      <w:r>
        <w:rPr>
          <w:b w:val="0"/>
          <w:i/>
        </w:rPr>
        <w:t>Для постановки диагноза  необходимо проведение пульсоксиметрии для выявления гипоксемии.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постановки диагноза необходимо проведение спирометрии с тестом обратимости бронхиальной обструкции для выявления вариабельного ограничения скорости воздушного потока на выдохе (наличия, степени тяжести и обратимости бронхиальной обструкции).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данной клинической ситуации основным диагнозом является +___________________________________+. Сенсибилизация к пыльцевым (деревья), эпидермальным (шерсть кошки), пищевым (цитрусовые)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обструктивная болезнь лёгких, умеренная степень тяжести (GOLD 2), группа B (mMRC 2, редкие обострения)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бронхит, обострение. Аллергический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Аллергическая бронхиальная астма, лёгкое течение. Круглогодичный аллергический ринит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Аллергическая бронхиальная  астма, среднетяжелое течение. Сезонный аллергический ринит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Аллергическая бронхиальная  астма, среднетяжелое течение. Сезонный аллергический ринит</w:t>
      </w:r>
    </w:p>
    <w:p>
      <w:pPr>
        <w:ind w:left="504"/>
      </w:pPr>
      <w:r>
        <w:rPr>
          <w:b w:val="0"/>
          <w:i/>
        </w:rPr>
        <w:t>Критериями диагноза аллергической бронхиальной астмы являются:</w:t>
        <w:br/>
        <w:br/>
        <w:t>*</w:t>
        <w:tab/>
        <w:t>приступы затруднённого дыхания и кашель;</w:t>
        <w:br/>
        <w:t>*</w:t>
        <w:tab/>
        <w:t>ухудшение симптомов ночью и рано утром;</w:t>
        <w:br/>
        <w:t>*</w:t>
        <w:tab/>
        <w:t>возникновение симптомов при контакте с кошкой;</w:t>
        <w:br/>
        <w:t>*</w:t>
        <w:tab/>
        <w:t>наличие атопических заболеваний в анамнезе (сезонный аллергический ринит);</w:t>
        <w:br/>
        <w:t>*</w:t>
        <w:tab/>
        <w:t>распространенные сухие свистящие хрипы при аускультации грудной клетки;</w:t>
        <w:br/>
        <w:t>*</w:t>
        <w:tab/>
        <w:t>снижение объёма форсированного выдоха за 1 секунду, обратимый характер бронхиальной обструкции (прирост ОФВ1 18% по данным спирометрии при проведении бронходилятационного теста);</w:t>
        <w:br/>
        <w:t>*</w:t>
        <w:tab/>
        <w:t>эозинофилия периферической крови и мокроты.</w:t>
        <w:br/>
        <w:br/>
        <w:t>Клинические рекомендации Российского респираторного общества «Бронхиальная астма» 2018. Раздел 2, п.2.1.</w:t>
        <w:br/>
        <w:br/>
        <w:t>Среднетяжёлое течение заболевания обусловлено наличием ежедневных симптомов и ночных приступов затруднённого дыхания более 1 раза в неделю.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поддерживающей терапии заболевания необходимо назначить комбинацию длительнодействующих бета2-агонистов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низких доз ингаляционных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высоких доз ингаляционных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ритуксимаба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омализумаба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низких доз ингаляционных глюкокортикостероидов</w:t>
      </w:r>
    </w:p>
    <w:p>
      <w:pPr>
        <w:ind w:left="504"/>
      </w:pPr>
      <w:r>
        <w:rPr>
          <w:b w:val="0"/>
          <w:i/>
        </w:rPr>
        <w:t>Для поддерживающей терапии заболевания в соответствии с установленной средней степенью тяжести бронхиальной астмы необходимо назначить комбинацию низких доз ингаляционных глюкокортикостероидов и длительнодействующих бета2-агонистов.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Мониторирование пиковой скорости выдоха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дня в неделю в утренние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ежедневно однократно в вечерние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ежедневно однократно в утренние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 2 раза в 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ежедневно 2 раза в сутки</w:t>
      </w:r>
    </w:p>
    <w:p>
      <w:pPr>
        <w:ind w:left="504"/>
      </w:pPr>
      <w:r>
        <w:rPr>
          <w:b w:val="0"/>
          <w:i/>
        </w:rPr>
        <w:t>Мониторирование пиковой скорости выдоха проводится ежедневно 2 раза в сутки.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Уменьшение объёма поддерживающей терапии при достижении контроля симптомов заболевания  после начала терапии может быть проведено через (в месяцах)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ind w:left="504"/>
      </w:pPr>
      <w:r>
        <w:rPr>
          <w:b w:val="0"/>
          <w:i/>
        </w:rPr>
        <w:t>Уменьшение объёма поддерживающей терапии при достижении контроля симптомов заболевания после начала терапии может быть проведено через 3 месяца.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устранения симптомов в режиме «по требованию»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муколитик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кромон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 лейкотриеновых рецепторов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коротко действующий бета2-агонист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коротко действующий бета2-агонист</w:t>
      </w:r>
    </w:p>
    <w:p>
      <w:pPr>
        <w:ind w:left="504"/>
      </w:pPr>
      <w:r>
        <w:rPr>
          <w:b w:val="0"/>
          <w:i/>
        </w:rPr>
        <w:t>Препаратом для устранения симптомов в режиме «по требованию» следует назначить коротко действующий бета2-агонист.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Пациентке показано проведение вакцинации против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пневмококковой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дифтерии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гриппа</w:t>
      </w:r>
    </w:p>
    <w:p>
      <w:pPr>
        <w:ind w:left="504"/>
      </w:pPr>
      <w:r>
        <w:rPr>
          <w:b w:val="0"/>
          <w:i/>
        </w:rPr>
        <w:t>Пациентам с среднетяжелой и тяжёлой бронхиальной астмой целесообразно проводить ежегодную противогриппозную вакцинацию для снижения риска тяжёлых обострений.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Пациентка относится к \______ группе состояния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IIIа</w:t>
      </w:r>
    </w:p>
    <w:p>
      <w:pPr>
        <w:ind w:left="504"/>
      </w:pPr>
      <w:r>
        <w:rPr>
          <w:b w:val="0"/>
          <w:i/>
        </w:rPr>
        <w:t>Пациентка относится к IIIа группе состояния здоровья, как имеющая хроническое неинфекционное заболевание, требующее установления диспансерного наблюдения.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Минимальная периодичность диспансерных приемов (консультаций пульмонолога) пациента с бронхиальной астмой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каждый квартал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 раз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1-3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каждые два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1-3 раза в год</w:t>
      </w:r>
    </w:p>
    <w:p>
      <w:pPr>
        <w:ind w:left="504"/>
      </w:pPr>
      <w:r>
        <w:rPr>
          <w:b w:val="0"/>
          <w:i/>
        </w:rPr>
        <w:t>Минимальная периодичность диспансерных приемов (Прием, осмотр и  консультация врача-пульмонолога, врача-аллерголога (по медицинским показаниям))  пациента с бронхиальной астмой составляет  1-3 раза в год. Пункт 22 в таблице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рамках проведения диспансерного наблюдения пациента с бронхиальной астмой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ФBД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бодиплетизмографию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рентгенографию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ФBД</w:t>
      </w:r>
    </w:p>
    <w:p>
      <w:pPr>
        <w:ind w:left="504"/>
      </w:pPr>
      <w:r>
        <w:rPr>
          <w:b w:val="0"/>
          <w:i/>
        </w:rPr>
        <w:t>В рамках проведения диспансерного наблюдения пациента с бронхиальной астмой необходимо контролировать  ФBД. Пункт 22 в таблице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Диспансеризация пациентов с бронхиальной астмой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пожизненная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первые 4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первые 5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первые 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пожизненная</w:t>
      </w:r>
    </w:p>
    <w:p>
      <w:pPr>
        <w:ind w:left="504"/>
      </w:pPr>
      <w:r>
        <w:rPr>
          <w:b w:val="0"/>
          <w:i/>
        </w:rPr>
        <w:t>Диспансеризация пациентов с бронхиальной астмой  пожизненная Пункт 22 в таблице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врачебная практика (семейная медицина)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59_24/" TargetMode="External"/><Relationship Id="rId22" Type="http://schemas.openxmlformats.org/officeDocument/2006/relationships/hyperlink" Target="https://library.mededtech.ru/rest/documents/KP359_24/#list_item_p35eqf" TargetMode="External"/><Relationship Id="rId23" Type="http://schemas.openxmlformats.org/officeDocument/2006/relationships/hyperlink" Target="https://library.mededtech.ru/rest/documents/KP359_24/#paragraph_r2raul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59_24/#list_item_ngibf2" TargetMode="External"/><Relationship Id="rId27" Type="http://schemas.openxmlformats.org/officeDocument/2006/relationships/hyperlink" Target="https://library.mededtech.ru/rest/documents/KP359_24/#list_item_p40kl5" TargetMode="External"/><Relationship Id="rId28" Type="http://schemas.openxmlformats.org/officeDocument/2006/relationships/hyperlink" Target="https://library.mededtech.ru/rest/documents/KP359_24/#paragraph_90us2i" TargetMode="External"/><Relationship Id="rId29" Type="http://schemas.openxmlformats.org/officeDocument/2006/relationships/hyperlink" Target="https://library.mededtech.ru/rest/documents/KP359_24/#table2" TargetMode="External"/><Relationship Id="rId30" Type="http://schemas.openxmlformats.org/officeDocument/2006/relationships/hyperlink" Target="https://library.mededtech.ru/rest/documents/KP359_24/#pic1" TargetMode="External"/><Relationship Id="rId31" Type="http://schemas.openxmlformats.org/officeDocument/2006/relationships/hyperlink" Target="https://library.mededtech.ru/rest/documents/KP359_24/#paragraph_3jah11" TargetMode="External"/><Relationship Id="rId32" Type="http://schemas.openxmlformats.org/officeDocument/2006/relationships/hyperlink" Target="https://library.mededtech.ru/rest/documents/KP359_24/#paragraph_63ts3o" TargetMode="External"/><Relationship Id="rId33" Type="http://schemas.openxmlformats.org/officeDocument/2006/relationships/hyperlink" Target="https://library.mededtech.ru/rest/documents/KP359_24/#list_item_vdlmb9" TargetMode="External"/><Relationship Id="rId34" Type="http://schemas.openxmlformats.org/officeDocument/2006/relationships/hyperlink" Target="https://library.mededtech.ru/rest/documents/ISBN9785970455203/?anchor=paragraph_e07cjn#paragraph_e07cjn" TargetMode="External"/><Relationship Id="rId35" Type="http://schemas.openxmlformats.org/officeDocument/2006/relationships/hyperlink" Target="https://library.mededtech.ru/rest/documents/ISBN9785970455203/?anchor=table_86rmle#table_86rm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